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FE06D8" w:rsidRDefault="000E6D37" w:rsidP="00FE06D8">
      <w:pPr>
        <w:spacing w:after="0" w:line="240" w:lineRule="auto"/>
        <w:ind w:left="5670"/>
        <w:jc w:val="right"/>
        <w:rPr>
          <w:rFonts w:ascii="Times New Roman" w:hAnsi="Times New Roman"/>
          <w:b/>
          <w:sz w:val="28"/>
          <w:szCs w:val="28"/>
        </w:rPr>
      </w:pPr>
      <w:r>
        <w:rPr>
          <w:rFonts w:ascii="Times New Roman" w:hAnsi="Times New Roman"/>
          <w:sz w:val="28"/>
          <w:szCs w:val="28"/>
        </w:rPr>
        <w:t>от 31.08.2023 г.  № 596.</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2D71D1" w:rsidRPr="002D71D1">
        <w:rPr>
          <w:rFonts w:ascii="Times New Roman" w:hAnsi="Times New Roman"/>
          <w:b/>
          <w:bCs/>
          <w:sz w:val="28"/>
          <w:szCs w:val="28"/>
        </w:rPr>
        <w:t>26527 «Социальный работник»</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2D71D1" w:rsidRDefault="002D71D1" w:rsidP="005C4E43">
      <w:pPr>
        <w:jc w:val="center"/>
        <w:rPr>
          <w:rFonts w:ascii="Times New Roman" w:hAnsi="Times New Roman"/>
          <w:b/>
          <w:iCs/>
          <w:sz w:val="28"/>
          <w:szCs w:val="28"/>
        </w:rPr>
      </w:pPr>
    </w:p>
    <w:p w:rsidR="005C4E43" w:rsidRPr="00B2577A"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0E6D37">
        <w:rPr>
          <w:rFonts w:ascii="Times New Roman" w:hAnsi="Times New Roman"/>
          <w:b/>
          <w:iCs/>
          <w:sz w:val="28"/>
          <w:szCs w:val="28"/>
        </w:rPr>
        <w:t>2023</w:t>
      </w: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2D71D1" w:rsidRPr="002D71D1">
        <w:rPr>
          <w:rFonts w:ascii="Times New Roman" w:hAnsi="Times New Roman"/>
          <w:sz w:val="28"/>
          <w:szCs w:val="28"/>
        </w:rPr>
        <w:t>26527 «Социальный работник»</w:t>
      </w:r>
      <w:r w:rsidRPr="001842CE">
        <w:rPr>
          <w:rFonts w:ascii="Times New Roman" w:hAnsi="Times New Roman"/>
          <w:sz w:val="28"/>
          <w:szCs w:val="28"/>
        </w:rPr>
        <w:t>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2D71D1" w:rsidRDefault="005C4E43" w:rsidP="005C4E43">
      <w:pPr>
        <w:spacing w:after="0" w:line="240" w:lineRule="auto"/>
        <w:ind w:firstLine="567"/>
        <w:jc w:val="both"/>
        <w:rPr>
          <w:rFonts w:ascii="Times New Roman" w:hAnsi="Times New Roman"/>
          <w:sz w:val="28"/>
          <w:szCs w:val="28"/>
        </w:rPr>
      </w:pPr>
      <w:r w:rsidRPr="002D71D1">
        <w:rPr>
          <w:rFonts w:ascii="Times New Roman" w:hAnsi="Times New Roman"/>
          <w:sz w:val="28"/>
          <w:szCs w:val="28"/>
        </w:rPr>
        <w:t>Рассмотрена и рекомендована к использованию на заседании методическо</w:t>
      </w:r>
      <w:r w:rsidR="00EE6356" w:rsidRPr="002D71D1">
        <w:rPr>
          <w:rFonts w:ascii="Times New Roman" w:hAnsi="Times New Roman"/>
          <w:sz w:val="28"/>
          <w:szCs w:val="28"/>
        </w:rPr>
        <w:t>го</w:t>
      </w:r>
      <w:r w:rsidRPr="002D71D1">
        <w:rPr>
          <w:rFonts w:ascii="Times New Roman" w:hAnsi="Times New Roman"/>
          <w:sz w:val="28"/>
          <w:szCs w:val="28"/>
        </w:rPr>
        <w:t xml:space="preserve"> объединения классных руководителей БПОУ ВО «Вологодский колледж технологии и дизайна», </w:t>
      </w:r>
      <w:r w:rsidR="000E6D37">
        <w:rPr>
          <w:rFonts w:ascii="Times New Roman" w:hAnsi="Times New Roman"/>
          <w:sz w:val="28"/>
          <w:szCs w:val="28"/>
        </w:rPr>
        <w:t>от «30» августа 2023</w:t>
      </w:r>
      <w:r w:rsidR="00D402B1">
        <w:rPr>
          <w:rFonts w:ascii="Times New Roman" w:hAnsi="Times New Roman"/>
          <w:sz w:val="28"/>
          <w:szCs w:val="28"/>
        </w:rPr>
        <w:t xml:space="preserve"> </w:t>
      </w:r>
      <w:r w:rsidRPr="002D71D1">
        <w:rPr>
          <w:rFonts w:ascii="Times New Roman" w:hAnsi="Times New Roman"/>
          <w:sz w:val="28"/>
          <w:szCs w:val="28"/>
        </w:rPr>
        <w:t>г.</w:t>
      </w:r>
    </w:p>
    <w:p w:rsidR="005C4E43" w:rsidRPr="002D71D1" w:rsidRDefault="005C4E43" w:rsidP="005C4E43">
      <w:pPr>
        <w:spacing w:after="0" w:line="240" w:lineRule="auto"/>
        <w:ind w:firstLine="567"/>
        <w:jc w:val="both"/>
        <w:rPr>
          <w:rFonts w:ascii="Times New Roman" w:hAnsi="Times New Roman"/>
          <w:sz w:val="28"/>
          <w:szCs w:val="28"/>
        </w:rPr>
      </w:pPr>
      <w:r w:rsidRPr="002D71D1">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w:t>
      </w:r>
      <w:r w:rsidR="000E6D37">
        <w:rPr>
          <w:rFonts w:ascii="Times New Roman" w:hAnsi="Times New Roman"/>
          <w:sz w:val="28"/>
          <w:szCs w:val="28"/>
        </w:rPr>
        <w:t>колледж технологии и дизайна»,</w:t>
      </w:r>
      <w:r w:rsidRPr="002D71D1">
        <w:rPr>
          <w:rFonts w:ascii="Times New Roman" w:hAnsi="Times New Roman"/>
          <w:sz w:val="28"/>
          <w:szCs w:val="28"/>
        </w:rPr>
        <w:t xml:space="preserve"> «31» августа  202</w:t>
      </w:r>
      <w:r w:rsidR="000E6D37">
        <w:rPr>
          <w:rFonts w:ascii="Times New Roman" w:hAnsi="Times New Roman"/>
          <w:sz w:val="28"/>
          <w:szCs w:val="28"/>
        </w:rPr>
        <w:t>3</w:t>
      </w:r>
      <w:r w:rsidRPr="002D71D1">
        <w:rPr>
          <w:rFonts w:ascii="Times New Roman" w:hAnsi="Times New Roman"/>
          <w:sz w:val="28"/>
          <w:szCs w:val="28"/>
        </w:rPr>
        <w:t xml:space="preserve"> г.</w:t>
      </w:r>
    </w:p>
    <w:p w:rsidR="005C4E43" w:rsidRPr="002D71D1" w:rsidRDefault="005C4E43" w:rsidP="005C4E43">
      <w:pPr>
        <w:spacing w:after="0" w:line="240" w:lineRule="auto"/>
        <w:ind w:firstLine="567"/>
        <w:jc w:val="both"/>
        <w:rPr>
          <w:rFonts w:ascii="Times New Roman" w:hAnsi="Times New Roman"/>
          <w:sz w:val="28"/>
          <w:szCs w:val="28"/>
        </w:rPr>
      </w:pPr>
      <w:r w:rsidRPr="002D71D1">
        <w:rPr>
          <w:rFonts w:ascii="Times New Roman" w:hAnsi="Times New Roman"/>
          <w:sz w:val="28"/>
          <w:szCs w:val="28"/>
        </w:rPr>
        <w:t xml:space="preserve">Согласовано  на заседании   студенческого совета    БПОУ ВО  «Вологодский колледж технологии и дизайна», от </w:t>
      </w:r>
      <w:r w:rsidR="000E6D37">
        <w:rPr>
          <w:rFonts w:ascii="Times New Roman" w:hAnsi="Times New Roman"/>
          <w:sz w:val="28"/>
          <w:szCs w:val="28"/>
        </w:rPr>
        <w:t>«30» августа 2023</w:t>
      </w:r>
      <w:bookmarkStart w:id="0" w:name="_GoBack"/>
      <w:bookmarkEnd w:id="0"/>
      <w:r w:rsidRPr="002D71D1">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2D71D1">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w:t>
      </w:r>
      <w:r w:rsidR="000E6D37">
        <w:rPr>
          <w:rFonts w:ascii="Times New Roman" w:hAnsi="Times New Roman"/>
          <w:sz w:val="28"/>
          <w:szCs w:val="28"/>
        </w:rPr>
        <w:t>«31» августа 2023</w:t>
      </w:r>
      <w:r w:rsidRPr="002D71D1">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10192E">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2D71D1" w:rsidRPr="002D71D1">
              <w:rPr>
                <w:rStyle w:val="fontstyle01"/>
                <w:rFonts w:ascii="Times New Roman" w:hAnsi="Times New Roman"/>
                <w:b w:val="0"/>
                <w:color w:val="auto"/>
                <w:sz w:val="24"/>
                <w:szCs w:val="28"/>
              </w:rPr>
              <w:t>26527 «Социальный работник»</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2D71D1" w:rsidRPr="002D71D1">
              <w:rPr>
                <w:rStyle w:val="fontstyle01"/>
                <w:rFonts w:ascii="Times New Roman" w:hAnsi="Times New Roman"/>
                <w:b w:val="0"/>
                <w:color w:val="auto"/>
                <w:sz w:val="24"/>
                <w:szCs w:val="28"/>
              </w:rPr>
              <w:t>26527 «Социальный работник»</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967A75" w:rsidP="002D71D1">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2 месяца/</w:t>
            </w:r>
            <w:r w:rsidR="002D71D1">
              <w:rPr>
                <w:rFonts w:ascii="Times New Roman" w:hAnsi="Times New Roman"/>
                <w:sz w:val="24"/>
                <w:szCs w:val="24"/>
              </w:rPr>
              <w:t>25</w:t>
            </w:r>
            <w:r>
              <w:rPr>
                <w:rFonts w:ascii="Times New Roman" w:hAnsi="Times New Roman"/>
                <w:sz w:val="24"/>
                <w:szCs w:val="24"/>
              </w:rPr>
              <w:t>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F272DD" w:rsidP="00F272DD">
      <w:pPr>
        <w:jc w:val="center"/>
        <w:rPr>
          <w:rFonts w:ascii="Times New Roman" w:hAnsi="Times New Roman"/>
          <w:b/>
          <w:sz w:val="24"/>
          <w:szCs w:val="24"/>
        </w:rPr>
      </w:pPr>
      <w:r>
        <w:rPr>
          <w:rFonts w:ascii="Times New Roman" w:hAnsi="Times New Roman"/>
          <w:b/>
        </w:rPr>
        <w:t>Социальный работник</w:t>
      </w:r>
      <w:r w:rsidR="00C235A2" w:rsidRPr="00C235A2">
        <w:rPr>
          <w:rFonts w:ascii="Times New Roman" w:hAnsi="Times New Roman"/>
          <w:b/>
        </w:rPr>
        <w:t xml:space="preserve"> </w:t>
      </w:r>
      <w:r w:rsidR="005C4E43" w:rsidRPr="008B676D">
        <w:rPr>
          <w:rFonts w:ascii="Times New Roman" w:hAnsi="Times New Roman"/>
          <w:b/>
          <w:sz w:val="24"/>
          <w:szCs w:val="24"/>
        </w:rPr>
        <w:t xml:space="preserve">должен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2D71D1" w:rsidP="0010192E">
            <w:pPr>
              <w:ind w:firstLine="0"/>
              <w:jc w:val="left"/>
              <w:rPr>
                <w:rFonts w:ascii="Times New Roman" w:hAnsi="Times New Roman"/>
                <w:sz w:val="24"/>
                <w:szCs w:val="24"/>
                <w:lang w:eastAsia="en-US"/>
              </w:rPr>
            </w:pPr>
            <w:r w:rsidRPr="002D71D1">
              <w:rPr>
                <w:rFonts w:ascii="Times New Roman" w:hAnsi="Times New Roman"/>
                <w:sz w:val="24"/>
                <w:szCs w:val="24"/>
                <w:lang w:eastAsia="en-US"/>
              </w:rPr>
              <w:t>Основы профессионального общения</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2D71D1" w:rsidP="0010192E">
            <w:pPr>
              <w:ind w:firstLine="0"/>
              <w:jc w:val="left"/>
              <w:rPr>
                <w:rFonts w:ascii="Times New Roman" w:hAnsi="Times New Roman"/>
                <w:sz w:val="24"/>
                <w:szCs w:val="24"/>
                <w:lang w:eastAsia="en-US"/>
              </w:rPr>
            </w:pPr>
            <w:r w:rsidRPr="002D71D1">
              <w:rPr>
                <w:rFonts w:ascii="Times New Roman" w:hAnsi="Times New Roman"/>
                <w:sz w:val="24"/>
                <w:szCs w:val="24"/>
                <w:lang w:eastAsia="en-US"/>
              </w:rPr>
              <w:t>Теоретические основы социальной работы</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2D71D1" w:rsidP="0010192E">
            <w:pPr>
              <w:ind w:firstLine="0"/>
              <w:jc w:val="left"/>
              <w:rPr>
                <w:rFonts w:ascii="Times New Roman" w:hAnsi="Times New Roman"/>
                <w:sz w:val="24"/>
                <w:szCs w:val="24"/>
                <w:lang w:eastAsia="en-US"/>
              </w:rPr>
            </w:pPr>
            <w:r w:rsidRPr="002D71D1">
              <w:rPr>
                <w:rFonts w:ascii="Times New Roman" w:hAnsi="Times New Roman"/>
                <w:sz w:val="24"/>
                <w:szCs w:val="24"/>
                <w:lang w:eastAsia="en-US"/>
              </w:rPr>
              <w:t>Организация социальной работы в РФ</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2D71D1" w:rsidP="002D71D1">
            <w:pPr>
              <w:ind w:firstLine="0"/>
              <w:rPr>
                <w:rFonts w:ascii="Times New Roman" w:hAnsi="Times New Roman"/>
                <w:sz w:val="24"/>
                <w:szCs w:val="24"/>
                <w:lang w:eastAsia="en-US"/>
              </w:rPr>
            </w:pPr>
            <w:r w:rsidRPr="002D71D1">
              <w:rPr>
                <w:rFonts w:ascii="Times New Roman" w:hAnsi="Times New Roman"/>
                <w:sz w:val="24"/>
                <w:szCs w:val="24"/>
                <w:lang w:eastAsia="en-US"/>
              </w:rPr>
              <w:t>Социально-медицинские основы</w:t>
            </w:r>
            <w:r>
              <w:rPr>
                <w:rFonts w:ascii="Times New Roman" w:hAnsi="Times New Roman"/>
                <w:sz w:val="24"/>
                <w:szCs w:val="24"/>
                <w:lang w:eastAsia="en-US"/>
              </w:rPr>
              <w:t xml:space="preserve"> </w:t>
            </w:r>
            <w:r w:rsidRPr="002D71D1">
              <w:rPr>
                <w:rFonts w:ascii="Times New Roman" w:hAnsi="Times New Roman"/>
                <w:sz w:val="24"/>
                <w:szCs w:val="24"/>
                <w:lang w:eastAsia="en-US"/>
              </w:rPr>
              <w:t>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2D71D1" w:rsidP="0010192E">
            <w:pPr>
              <w:ind w:firstLine="0"/>
              <w:jc w:val="left"/>
              <w:rPr>
                <w:rFonts w:ascii="Times New Roman" w:hAnsi="Times New Roman"/>
                <w:sz w:val="24"/>
                <w:szCs w:val="24"/>
                <w:lang w:eastAsia="en-US"/>
              </w:rPr>
            </w:pPr>
            <w:r w:rsidRPr="002D71D1">
              <w:rPr>
                <w:rFonts w:ascii="Times New Roman" w:hAnsi="Times New Roman"/>
                <w:sz w:val="24"/>
                <w:szCs w:val="24"/>
                <w:lang w:eastAsia="en-US"/>
              </w:rPr>
              <w:t>Основы социально-бытового обслуживания</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0E6D37"/>
    <w:rsid w:val="0010192E"/>
    <w:rsid w:val="001379E4"/>
    <w:rsid w:val="00153E34"/>
    <w:rsid w:val="00161927"/>
    <w:rsid w:val="001B61A4"/>
    <w:rsid w:val="00262142"/>
    <w:rsid w:val="002D71D1"/>
    <w:rsid w:val="00421D63"/>
    <w:rsid w:val="0046058F"/>
    <w:rsid w:val="004D2116"/>
    <w:rsid w:val="005321AC"/>
    <w:rsid w:val="005C4E43"/>
    <w:rsid w:val="006400D1"/>
    <w:rsid w:val="00650F00"/>
    <w:rsid w:val="006637DF"/>
    <w:rsid w:val="006665B5"/>
    <w:rsid w:val="006A2C8A"/>
    <w:rsid w:val="006A4863"/>
    <w:rsid w:val="006D1631"/>
    <w:rsid w:val="00873CF7"/>
    <w:rsid w:val="00875A58"/>
    <w:rsid w:val="008B1D1A"/>
    <w:rsid w:val="008B676D"/>
    <w:rsid w:val="009120E2"/>
    <w:rsid w:val="00914AE2"/>
    <w:rsid w:val="00967A75"/>
    <w:rsid w:val="00A14580"/>
    <w:rsid w:val="00A24D44"/>
    <w:rsid w:val="00AE0999"/>
    <w:rsid w:val="00B646C4"/>
    <w:rsid w:val="00B81E6A"/>
    <w:rsid w:val="00B82214"/>
    <w:rsid w:val="00C01860"/>
    <w:rsid w:val="00C235A2"/>
    <w:rsid w:val="00D16EB3"/>
    <w:rsid w:val="00D243AB"/>
    <w:rsid w:val="00D402B1"/>
    <w:rsid w:val="00D66EF7"/>
    <w:rsid w:val="00D67197"/>
    <w:rsid w:val="00DF0684"/>
    <w:rsid w:val="00E513F6"/>
    <w:rsid w:val="00E6359D"/>
    <w:rsid w:val="00EE6356"/>
    <w:rsid w:val="00F02E2E"/>
    <w:rsid w:val="00F272DD"/>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36940-2C91-49EC-8D5D-97111AE2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90A0-639A-46F3-932B-78649B6B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8</cp:revision>
  <dcterms:created xsi:type="dcterms:W3CDTF">2022-03-02T14:01:00Z</dcterms:created>
  <dcterms:modified xsi:type="dcterms:W3CDTF">2023-09-25T07:41:00Z</dcterms:modified>
</cp:coreProperties>
</file>