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УТВЕРЖДЕНО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приказом директора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БПОУ </w:t>
      </w:r>
      <w:proofErr w:type="gramStart"/>
      <w:r w:rsidRPr="00EF7737">
        <w:rPr>
          <w:sz w:val="28"/>
          <w:szCs w:val="28"/>
        </w:rPr>
        <w:t>ВО</w:t>
      </w:r>
      <w:proofErr w:type="gramEnd"/>
      <w:r w:rsidRPr="00EF7737">
        <w:rPr>
          <w:sz w:val="28"/>
          <w:szCs w:val="28"/>
        </w:rPr>
        <w:t xml:space="preserve"> «Вологодский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колледж технологии и дизайна»</w:t>
      </w:r>
    </w:p>
    <w:p w:rsidR="004F22A4" w:rsidRPr="00EF7737" w:rsidRDefault="004F22A4" w:rsidP="004F22A4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eastAsia="Calibri" w:hAnsi="Times New Roman" w:cs="Times New Roman"/>
          <w:sz w:val="28"/>
          <w:szCs w:val="28"/>
        </w:rPr>
        <w:t>от</w:t>
      </w:r>
      <w:r w:rsidR="0055520B">
        <w:rPr>
          <w:rFonts w:ascii="Times New Roman" w:eastAsia="Calibri" w:hAnsi="Times New Roman" w:cs="Times New Roman"/>
          <w:sz w:val="28"/>
          <w:szCs w:val="28"/>
        </w:rPr>
        <w:t>22.06. 2023 №  514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4F22A4" w:rsidRDefault="004F22A4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Специальность </w:t>
      </w:r>
    </w:p>
    <w:p w:rsidR="0047294D" w:rsidRDefault="0047294D" w:rsidP="0047294D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>46.02.01 Документационное обеспечение управления и архивоведение</w:t>
      </w:r>
    </w:p>
    <w:p w:rsidR="0047294D" w:rsidRDefault="0047294D" w:rsidP="0047294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7294D" w:rsidRPr="00EF7737" w:rsidRDefault="0047294D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294D" w:rsidRPr="00EF7737" w:rsidRDefault="0047294D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EF77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>предметной цикловой комиссией, п</w:t>
      </w:r>
      <w:r w:rsidR="0055520B">
        <w:rPr>
          <w:rFonts w:ascii="Times New Roman" w:eastAsia="Calibri" w:hAnsi="Times New Roman" w:cs="Times New Roman"/>
          <w:sz w:val="28"/>
          <w:szCs w:val="28"/>
        </w:rPr>
        <w:t>ротокол № 11 от  13.06.2023</w:t>
      </w:r>
      <w:bookmarkStart w:id="0" w:name="_GoBack"/>
      <w:bookmarkEnd w:id="0"/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имеет значение при формировании и развитии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командной и индивидуальной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ценностное отношение к русскому языку;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делового стилей разных жанров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2E6F07" w:rsidRPr="00706230" w:rsidRDefault="002E6F07" w:rsidP="0047294D">
            <w:pPr>
              <w:pStyle w:val="ac"/>
              <w:rPr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lastRenderedPageBreak/>
              <w:t xml:space="preserve"> </w:t>
            </w:r>
            <w:r w:rsidR="0047294D">
              <w:rPr>
                <w:sz w:val="28"/>
                <w:szCs w:val="28"/>
              </w:rPr>
              <w:t>ПК 1.8</w:t>
            </w:r>
            <w:proofErr w:type="gramStart"/>
            <w:r w:rsidR="0047294D">
              <w:rPr>
                <w:sz w:val="28"/>
                <w:szCs w:val="28"/>
              </w:rPr>
              <w:t>О</w:t>
            </w:r>
            <w:proofErr w:type="gramEnd"/>
            <w:r w:rsidR="0047294D">
              <w:rPr>
                <w:sz w:val="28"/>
                <w:szCs w:val="28"/>
              </w:rPr>
              <w:t>формлять документы по личному составу и организовывать работу с ними, в том числе с использованием автоматизированных систем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  <w:p w:rsidR="0047294D" w:rsidRPr="00EF7737" w:rsidRDefault="0047294D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организационного и документационного обеспечения деятельности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lastRenderedPageBreak/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r w:rsidRPr="00F7513E">
        <w:rPr>
          <w:b/>
          <w:color w:val="000000"/>
        </w:rPr>
        <w:t>Синтаксис и пунктуация</w:t>
      </w: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55520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55520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55520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55520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55520B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55520B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55520B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2921BE"/>
    <w:rsid w:val="002A6DFB"/>
    <w:rsid w:val="002E6F07"/>
    <w:rsid w:val="0032261A"/>
    <w:rsid w:val="003B0E35"/>
    <w:rsid w:val="0047294D"/>
    <w:rsid w:val="004F22A4"/>
    <w:rsid w:val="00531914"/>
    <w:rsid w:val="00543C2A"/>
    <w:rsid w:val="0055520B"/>
    <w:rsid w:val="006516DB"/>
    <w:rsid w:val="00655E56"/>
    <w:rsid w:val="00817BD8"/>
    <w:rsid w:val="00926902"/>
    <w:rsid w:val="009A1F90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C220-B02E-4427-BCA5-A79B20ED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48</Pages>
  <Words>12938</Words>
  <Characters>73752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15</cp:revision>
  <dcterms:created xsi:type="dcterms:W3CDTF">2022-04-26T20:40:00Z</dcterms:created>
  <dcterms:modified xsi:type="dcterms:W3CDTF">2023-10-26T08:28:00Z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