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4934EE" w:rsidRDefault="00CA30C8" w:rsidP="004934EE">
      <w:pPr>
        <w:ind w:left="5387" w:firstLine="283"/>
        <w:rPr>
          <w:sz w:val="28"/>
          <w:szCs w:val="28"/>
        </w:rPr>
      </w:pPr>
      <w:r>
        <w:rPr>
          <w:sz w:val="28"/>
          <w:szCs w:val="28"/>
        </w:rPr>
        <w:t>о</w:t>
      </w:r>
      <w:r w:rsidR="00703228">
        <w:rPr>
          <w:sz w:val="28"/>
          <w:szCs w:val="28"/>
        </w:rPr>
        <w:t>т 31.08.2021 № 528</w:t>
      </w:r>
    </w:p>
    <w:p w:rsidR="006444C2" w:rsidRPr="004934EE" w:rsidRDefault="004934EE" w:rsidP="004934EE">
      <w:pPr>
        <w:ind w:left="5387" w:firstLine="283"/>
        <w:rPr>
          <w:sz w:val="28"/>
          <w:szCs w:val="28"/>
        </w:rPr>
      </w:pPr>
      <w:r w:rsidRPr="004934EE">
        <w:rPr>
          <w:sz w:val="28"/>
          <w:szCs w:val="28"/>
        </w:rPr>
        <w:t>от 31.08.2022 № 580</w:t>
      </w: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>УЧЕБНО</w:t>
      </w:r>
      <w:r w:rsidR="00CA30C8">
        <w:rPr>
          <w:sz w:val="28"/>
          <w:szCs w:val="28"/>
        </w:rPr>
        <w:t>МУ</w:t>
      </w:r>
      <w:r w:rsidRPr="006444C2">
        <w:rPr>
          <w:sz w:val="28"/>
          <w:szCs w:val="28"/>
        </w:rPr>
        <w:t xml:space="preserve"> </w:t>
      </w:r>
      <w:r w:rsidR="00CA30C8">
        <w:rPr>
          <w:sz w:val="28"/>
          <w:szCs w:val="28"/>
        </w:rPr>
        <w:t>ПРЕДМЕТУ</w:t>
      </w:r>
      <w:r w:rsidRPr="006444C2">
        <w:rPr>
          <w:sz w:val="28"/>
          <w:szCs w:val="28"/>
        </w:rPr>
        <w:t xml:space="preserve">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EE3EC3" w:rsidRDefault="00EE3EC3" w:rsidP="00EE3E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</w:p>
    <w:p w:rsidR="00DD4C31" w:rsidRDefault="00EE3EC3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sz w:val="28"/>
          <w:szCs w:val="28"/>
        </w:rPr>
        <w:t>46.02.01 Документационное обеспечение управления и архивоведение</w:t>
      </w: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AA528D" w:rsidP="00AA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</w:t>
      </w:r>
      <w:r w:rsidR="004934EE">
        <w:rPr>
          <w:bCs/>
          <w:sz w:val="28"/>
          <w:szCs w:val="28"/>
        </w:rPr>
        <w:t>2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</w:t>
      </w:r>
      <w:r w:rsidR="00CA30C8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 w:rsidR="00CA30C8">
        <w:rPr>
          <w:color w:val="000000"/>
          <w:sz w:val="28"/>
          <w:szCs w:val="28"/>
        </w:rPr>
        <w:t>предмета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6444C2" w:rsidRPr="00CF6E44" w:rsidRDefault="006444C2" w:rsidP="006444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рекомендовано к утверждению на заседании предметной цикловой комиссии общеобразовательных дисциплин БПОУ ВО «Вологодский колледж технологии и дизайна», </w:t>
            </w:r>
            <w:r w:rsidR="00703228">
              <w:rPr>
                <w:color w:val="000000"/>
                <w:sz w:val="28"/>
                <w:szCs w:val="28"/>
              </w:rPr>
              <w:t xml:space="preserve">протокол № 1 </w:t>
            </w:r>
            <w:r w:rsidR="00703228">
              <w:rPr>
                <w:sz w:val="28"/>
                <w:szCs w:val="28"/>
              </w:rPr>
              <w:t>от 30.08.2021 г.</w:t>
            </w:r>
            <w:r w:rsidR="004934EE">
              <w:rPr>
                <w:sz w:val="28"/>
                <w:szCs w:val="28"/>
              </w:rPr>
              <w:t xml:space="preserve">, </w:t>
            </w:r>
            <w:r w:rsidR="004934EE">
              <w:rPr>
                <w:sz w:val="28"/>
                <w:szCs w:val="28"/>
              </w:rPr>
              <w:t xml:space="preserve">протокол № 1 от 31.08.2022 </w:t>
            </w:r>
            <w:r w:rsidR="004934EE">
              <w:rPr>
                <w:sz w:val="28"/>
                <w:szCs w:val="28"/>
              </w:rPr>
              <w:t>г.</w:t>
            </w:r>
            <w:bookmarkStart w:id="0" w:name="_GoBack"/>
            <w:bookmarkEnd w:id="0"/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учебно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учебно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учебно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 w:rsidR="00C305DD"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Правила поведения при ЧС на железнодорожном </w:t>
      </w:r>
      <w:proofErr w:type="gramStart"/>
      <w:r>
        <w:rPr>
          <w:sz w:val="28"/>
          <w:szCs w:val="28"/>
        </w:rPr>
        <w:t xml:space="preserve">транспорте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 w:rsidR="00631DF9">
        <w:rPr>
          <w:sz w:val="28"/>
          <w:szCs w:val="28"/>
        </w:rPr>
        <w:t>Инфекционные 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Инфекционные 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4015C3"/>
    <w:rsid w:val="004920FA"/>
    <w:rsid w:val="004934EE"/>
    <w:rsid w:val="00575059"/>
    <w:rsid w:val="005B365F"/>
    <w:rsid w:val="005E47DB"/>
    <w:rsid w:val="00611016"/>
    <w:rsid w:val="00631DF9"/>
    <w:rsid w:val="006444C2"/>
    <w:rsid w:val="006838D4"/>
    <w:rsid w:val="006A2DAA"/>
    <w:rsid w:val="00703228"/>
    <w:rsid w:val="008F0A60"/>
    <w:rsid w:val="008F325C"/>
    <w:rsid w:val="008F71DE"/>
    <w:rsid w:val="009045A1"/>
    <w:rsid w:val="00AA528D"/>
    <w:rsid w:val="00AF34DD"/>
    <w:rsid w:val="00BB5C3C"/>
    <w:rsid w:val="00BD77FD"/>
    <w:rsid w:val="00C244DA"/>
    <w:rsid w:val="00C305DD"/>
    <w:rsid w:val="00CA30C8"/>
    <w:rsid w:val="00D01653"/>
    <w:rsid w:val="00DA109D"/>
    <w:rsid w:val="00DB2F73"/>
    <w:rsid w:val="00DD4C31"/>
    <w:rsid w:val="00E41E67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1CF4"/>
  <w15:docId w15:val="{FF6A14C3-1D38-483F-99CA-FDAF7EA0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42</Pages>
  <Words>7086</Words>
  <Characters>40395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9</cp:revision>
  <dcterms:created xsi:type="dcterms:W3CDTF">2020-01-09T05:48:00Z</dcterms:created>
  <dcterms:modified xsi:type="dcterms:W3CDTF">2022-09-20T10:39:00Z</dcterms:modified>
</cp:coreProperties>
</file>