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33C1F14" w14:textId="564DA604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="00590986"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14:paraId="448111D7" w14:textId="77777777" w:rsidR="00421126" w:rsidRPr="00C17C00" w:rsidRDefault="00421126" w:rsidP="00421126">
      <w:pPr>
        <w:ind w:left="5387"/>
        <w:jc w:val="both"/>
        <w:rPr>
          <w:color w:val="000000"/>
          <w:sz w:val="28"/>
          <w:szCs w:val="28"/>
        </w:rPr>
      </w:pP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4B5BCA96" w:rsidR="00421126" w:rsidRPr="00A14FBF" w:rsidRDefault="00C81C69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="00421126"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0A03E153" w14:textId="66AD0CF8" w:rsidR="002749E1" w:rsidRPr="002749E1" w:rsidRDefault="002749E1" w:rsidP="002749E1">
      <w:pPr>
        <w:tabs>
          <w:tab w:val="left" w:pos="5143"/>
        </w:tabs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2749E1">
        <w:rPr>
          <w:rFonts w:ascii="Times New Roman" w:hAnsi="Times New Roman"/>
          <w:sz w:val="28"/>
          <w:szCs w:val="28"/>
          <w:lang w:eastAsia="ru-RU"/>
        </w:rPr>
        <w:t xml:space="preserve">Специальность </w:t>
      </w:r>
      <w:r w:rsidR="0001692D" w:rsidRPr="0001692D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</w:p>
    <w:p w14:paraId="51E7DB15" w14:textId="77777777" w:rsidR="002749E1" w:rsidRPr="002749E1" w:rsidRDefault="002749E1" w:rsidP="002749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30BFF827" w:rsidR="00421126" w:rsidRPr="00A14FBF" w:rsidRDefault="00AA3A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590986">
        <w:rPr>
          <w:rFonts w:ascii="Times New Roman" w:hAnsi="Times New Roman"/>
          <w:bCs/>
          <w:sz w:val="28"/>
          <w:szCs w:val="28"/>
        </w:rPr>
        <w:t>21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5E29FE98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>Мурахина</w:t>
      </w:r>
      <w:proofErr w:type="spellEnd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В.А.,</w:t>
      </w:r>
      <w:proofErr w:type="spellStart"/>
      <w:r w:rsidR="00C81C69">
        <w:rPr>
          <w:rFonts w:ascii="Times New Roman" w:hAnsi="Times New Roman"/>
          <w:color w:val="000000"/>
          <w:sz w:val="24"/>
          <w:szCs w:val="24"/>
          <w:lang w:eastAsia="ru-RU"/>
        </w:rPr>
        <w:t>Пенюгалова</w:t>
      </w:r>
      <w:proofErr w:type="spellEnd"/>
      <w:r w:rsidR="00C81C6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 А.,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32E73732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590986" w:rsidRPr="00507EAC">
        <w:rPr>
          <w:rFonts w:ascii="Times New Roman" w:eastAsia="Calibri" w:hAnsi="Times New Roman"/>
          <w:sz w:val="24"/>
          <w:szCs w:val="24"/>
          <w:lang w:eastAsia="ru-RU"/>
        </w:rPr>
        <w:t xml:space="preserve"> 1 от 30.08.2021  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757C753E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</w:t>
      </w:r>
      <w:r w:rsidR="00C81C69">
        <w:rPr>
          <w:rFonts w:ascii="Times New Roman" w:hAnsi="Times New Roman"/>
          <w:sz w:val="24"/>
          <w:szCs w:val="24"/>
          <w:lang w:eastAsia="ru-RU"/>
        </w:rPr>
        <w:t xml:space="preserve">ся, освоивших программу учебного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61FB8B44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</w:t>
      </w:r>
      <w:proofErr w:type="gramStart"/>
      <w:r w:rsidR="00421126" w:rsidRPr="004223C6">
        <w:rPr>
          <w:rFonts w:ascii="Times New Roman" w:hAnsi="Times New Roman"/>
          <w:sz w:val="24"/>
          <w:szCs w:val="24"/>
          <w:lang w:eastAsia="ru-RU"/>
        </w:rPr>
        <w:t>разработан</w:t>
      </w:r>
      <w:proofErr w:type="gramEnd"/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на основе ФГОС </w:t>
      </w:r>
      <w:r w:rsidR="00C81C69">
        <w:rPr>
          <w:rFonts w:ascii="Times New Roman" w:hAnsi="Times New Roman"/>
          <w:sz w:val="24"/>
          <w:szCs w:val="24"/>
          <w:lang w:eastAsia="ru-RU"/>
        </w:rPr>
        <w:t xml:space="preserve">СОО и рабочей программы учебного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ОУДБ.02 Литература. </w:t>
      </w:r>
    </w:p>
    <w:p w14:paraId="2D9289BD" w14:textId="1EC87196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</w:t>
      </w:r>
      <w:r w:rsidR="00C81C69">
        <w:rPr>
          <w:rFonts w:ascii="Times New Roman" w:hAnsi="Times New Roman"/>
          <w:sz w:val="24"/>
          <w:szCs w:val="24"/>
        </w:rPr>
        <w:t>чной аттестации освоения учебного предмет</w:t>
      </w:r>
      <w:proofErr w:type="gramStart"/>
      <w:r w:rsidR="00C81C69">
        <w:rPr>
          <w:rFonts w:ascii="Times New Roman" w:hAnsi="Times New Roman"/>
          <w:sz w:val="24"/>
          <w:szCs w:val="24"/>
        </w:rPr>
        <w:t>а</w:t>
      </w:r>
      <w:r w:rsidRPr="004223C6">
        <w:rPr>
          <w:rFonts w:ascii="Times New Roman" w:hAnsi="Times New Roman"/>
          <w:sz w:val="24"/>
          <w:szCs w:val="24"/>
        </w:rPr>
        <w:t>–</w:t>
      </w:r>
      <w:proofErr w:type="gramEnd"/>
      <w:r w:rsidRPr="004223C6">
        <w:rPr>
          <w:rFonts w:ascii="Times New Roman" w:hAnsi="Times New Roman"/>
          <w:sz w:val="24"/>
          <w:szCs w:val="24"/>
        </w:rPr>
        <w:t xml:space="preserve">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4FA871FB" w:rsidR="004223C6" w:rsidRPr="004223C6" w:rsidRDefault="00C81C69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</w:t>
            </w: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C81C69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C81C69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C81C69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C81C69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C81C69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C81C69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 xml:space="preserve">ного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657A066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</w:t>
      </w:r>
      <w:r w:rsidR="00C81C69">
        <w:rPr>
          <w:rFonts w:ascii="Times New Roman" w:hAnsi="Times New Roman"/>
          <w:b/>
          <w:sz w:val="28"/>
          <w:szCs w:val="28"/>
          <w:lang w:eastAsia="ru-RU"/>
        </w:rPr>
        <w:t>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самодурство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Н.А.Некрасова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Анализ  стихотворения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AA3A26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AA3A26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66ABF6E9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промежуточного контроля по учебн</w:t>
      </w:r>
      <w:r w:rsidR="00C81C69">
        <w:rPr>
          <w:rFonts w:ascii="Times New Roman" w:hAnsi="Times New Roman"/>
          <w:b/>
          <w:sz w:val="28"/>
          <w:szCs w:val="28"/>
          <w:lang w:eastAsia="ru-RU"/>
        </w:rPr>
        <w:t>ому предмету</w:t>
      </w:r>
      <w:bookmarkStart w:id="0" w:name="_GoBack"/>
      <w:bookmarkEnd w:id="0"/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DDC6B" w14:textId="77777777" w:rsidR="00AA3A26" w:rsidRDefault="00AA3A26" w:rsidP="00D1227A">
      <w:pPr>
        <w:spacing w:after="0" w:line="240" w:lineRule="auto"/>
      </w:pPr>
      <w:r>
        <w:separator/>
      </w:r>
    </w:p>
  </w:endnote>
  <w:endnote w:type="continuationSeparator" w:id="0">
    <w:p w14:paraId="38642DFE" w14:textId="77777777" w:rsidR="00AA3A26" w:rsidRDefault="00AA3A26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2EE13" w14:textId="77777777" w:rsidR="00AA3A26" w:rsidRDefault="00AA3A26" w:rsidP="00D1227A">
      <w:pPr>
        <w:spacing w:after="0" w:line="240" w:lineRule="auto"/>
      </w:pPr>
      <w:r>
        <w:separator/>
      </w:r>
    </w:p>
  </w:footnote>
  <w:footnote w:type="continuationSeparator" w:id="0">
    <w:p w14:paraId="3AAACB49" w14:textId="77777777" w:rsidR="00AA3A26" w:rsidRDefault="00AA3A26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1692D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A3A26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81C69"/>
    <w:rsid w:val="00CA2BBF"/>
    <w:rsid w:val="00CB6929"/>
    <w:rsid w:val="00CF50A8"/>
    <w:rsid w:val="00D0113B"/>
    <w:rsid w:val="00D032D8"/>
    <w:rsid w:val="00D06996"/>
    <w:rsid w:val="00D1227A"/>
    <w:rsid w:val="00D6184F"/>
    <w:rsid w:val="00D62C20"/>
    <w:rsid w:val="00D735DE"/>
    <w:rsid w:val="00D750A9"/>
    <w:rsid w:val="00D90A98"/>
    <w:rsid w:val="00DB104E"/>
    <w:rsid w:val="00DE2738"/>
    <w:rsid w:val="00E05307"/>
    <w:rsid w:val="00E20723"/>
    <w:rsid w:val="00E24173"/>
    <w:rsid w:val="00E41162"/>
    <w:rsid w:val="00E60B31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lermontov-biografiya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hyperlink" Target="http://obrazovaka.ru/test/po-biografii-cvetaevoy-s-otvetam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16</Pages>
  <Words>4865</Words>
  <Characters>27734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50</cp:revision>
  <cp:lastPrinted>2016-11-17T08:59:00Z</cp:lastPrinted>
  <dcterms:created xsi:type="dcterms:W3CDTF">2014-10-15T15:31:00Z</dcterms:created>
  <dcterms:modified xsi:type="dcterms:W3CDTF">2022-04-18T12:52:00Z</dcterms:modified>
</cp:coreProperties>
</file>