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7D2016C6" w14:textId="77777777" w:rsidR="007B07B1" w:rsidRPr="007B07B1" w:rsidRDefault="007B07B1" w:rsidP="007B07B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B07B1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5316A988" w14:textId="77777777" w:rsidR="007B07B1" w:rsidRPr="007B07B1" w:rsidRDefault="007B07B1" w:rsidP="007B07B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B07B1">
        <w:rPr>
          <w:rFonts w:ascii="Times New Roman" w:hAnsi="Times New Roman" w:cs="Times New Roman"/>
          <w:sz w:val="28"/>
          <w:szCs w:val="28"/>
          <w:lang w:eastAsia="en-US"/>
        </w:rPr>
        <w:t xml:space="preserve">приказом директора </w:t>
      </w:r>
    </w:p>
    <w:p w14:paraId="2772AD22" w14:textId="77777777" w:rsidR="007B07B1" w:rsidRPr="007B07B1" w:rsidRDefault="007B07B1" w:rsidP="007B07B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B07B1">
        <w:rPr>
          <w:rFonts w:ascii="Times New Roman" w:hAnsi="Times New Roman" w:cs="Times New Roman"/>
          <w:sz w:val="28"/>
          <w:szCs w:val="28"/>
          <w:lang w:eastAsia="en-US"/>
        </w:rPr>
        <w:t xml:space="preserve">БПОУ </w:t>
      </w:r>
      <w:proofErr w:type="gramStart"/>
      <w:r w:rsidRPr="007B07B1">
        <w:rPr>
          <w:rFonts w:ascii="Times New Roman" w:hAnsi="Times New Roman" w:cs="Times New Roman"/>
          <w:sz w:val="28"/>
          <w:szCs w:val="28"/>
          <w:lang w:eastAsia="en-US"/>
        </w:rPr>
        <w:t>ВО</w:t>
      </w:r>
      <w:proofErr w:type="gramEnd"/>
      <w:r w:rsidRPr="007B07B1">
        <w:rPr>
          <w:rFonts w:ascii="Times New Roman" w:hAnsi="Times New Roman" w:cs="Times New Roman"/>
          <w:sz w:val="28"/>
          <w:szCs w:val="28"/>
          <w:lang w:eastAsia="en-US"/>
        </w:rPr>
        <w:t xml:space="preserve"> «Вологодский </w:t>
      </w:r>
    </w:p>
    <w:p w14:paraId="7568CC50" w14:textId="77777777" w:rsidR="007B07B1" w:rsidRPr="007B07B1" w:rsidRDefault="007B07B1" w:rsidP="007B07B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B07B1">
        <w:rPr>
          <w:rFonts w:ascii="Times New Roman" w:hAnsi="Times New Roman" w:cs="Times New Roman"/>
          <w:sz w:val="28"/>
          <w:szCs w:val="28"/>
          <w:lang w:eastAsia="en-US"/>
        </w:rPr>
        <w:t>колледж технологии и дизайна»</w:t>
      </w:r>
    </w:p>
    <w:p w14:paraId="50730688" w14:textId="77777777" w:rsidR="007B07B1" w:rsidRPr="007B07B1" w:rsidRDefault="007B07B1" w:rsidP="007B07B1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7B07B1">
        <w:rPr>
          <w:rFonts w:ascii="Times New Roman" w:eastAsia="Calibri" w:hAnsi="Times New Roman" w:cs="Times New Roman"/>
          <w:sz w:val="28"/>
          <w:szCs w:val="28"/>
          <w:lang w:eastAsia="en-US"/>
        </w:rPr>
        <w:t>от 31.05. 2024 № 525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1D119EE8" w14:textId="77777777" w:rsidR="0061532E" w:rsidRPr="00C51F7D" w:rsidRDefault="0061532E" w:rsidP="0061532E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>39.02.01 Социальная работа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5230493E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7B07B1">
        <w:rPr>
          <w:rFonts w:ascii="Times New Roman" w:hAnsi="Times New Roman"/>
          <w:bCs/>
          <w:sz w:val="28"/>
          <w:szCs w:val="28"/>
        </w:rPr>
        <w:t>4</w:t>
      </w:r>
      <w:r w:rsidR="00093149">
        <w:rPr>
          <w:rFonts w:ascii="Times New Roman" w:hAnsi="Times New Roman"/>
          <w:bCs/>
        </w:rPr>
        <w:br w:type="page"/>
      </w:r>
    </w:p>
    <w:p w14:paraId="015BCCFF" w14:textId="45D6082A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1532E">
        <w:rPr>
          <w:rFonts w:ascii="Times New Roman" w:hAnsi="Times New Roman"/>
          <w:sz w:val="28"/>
          <w:szCs w:val="28"/>
        </w:rPr>
        <w:t>39.02.01 Социальная работа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59B169" w14:textId="2F3F6D91" w:rsidR="00093149" w:rsidRDefault="00715659" w:rsidP="007B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B07B1" w:rsidRPr="007B07B1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7B07B1" w:rsidRPr="007B07B1">
        <w:rPr>
          <w:rFonts w:ascii="Times New Roman" w:eastAsia="Calibri" w:hAnsi="Times New Roman" w:cs="Times New Roman"/>
          <w:sz w:val="28"/>
          <w:szCs w:val="28"/>
          <w:lang w:eastAsia="en-US"/>
        </w:rPr>
        <w:t>ротокол № 11  от 28.05.2024</w:t>
      </w:r>
      <w:bookmarkStart w:id="0" w:name="_GoBack"/>
      <w:bookmarkEnd w:id="0"/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185D966E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</w:rPr>
        <w:t>по</w:t>
      </w:r>
      <w:r w:rsidR="00124943" w:rsidRPr="00615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61532E">
        <w:rPr>
          <w:rFonts w:ascii="Times New Roman" w:hAnsi="Times New Roman" w:cs="Times New Roman"/>
          <w:sz w:val="28"/>
          <w:szCs w:val="28"/>
        </w:rPr>
        <w:t xml:space="preserve"> </w:t>
      </w:r>
      <w:r w:rsidR="0061532E">
        <w:rPr>
          <w:rFonts w:ascii="Times New Roman" w:hAnsi="Times New Roman"/>
          <w:sz w:val="28"/>
          <w:szCs w:val="28"/>
        </w:rPr>
        <w:t>39.02.01 Социальная работа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61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61532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1770D0B5" w14:textId="39EAF06C" w:rsidR="003E4980" w:rsidRPr="003E4980" w:rsidRDefault="0061532E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1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      </w: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321"/>
        <w:gridCol w:w="1172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7A519564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деятельности специалиста по социальной работе.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42D24550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61532E" w:rsidRPr="003637D5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 xml:space="preserve">Отходы в ходе деятельности специалиста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по социальной работе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64F1D91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специалиста по </w:t>
            </w:r>
            <w:r w:rsidR="0061532E" w:rsidRPr="00B96BA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социальной работе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1B0E76E7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61532E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специалиста по социальной работе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lastRenderedPageBreak/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</w:t>
      </w:r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лоропласты</w:t>
      </w:r>
      <w:proofErr w:type="spell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А-Г,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</w:t>
      </w:r>
      <w:proofErr w:type="spellStart"/>
      <w:proofErr w:type="gram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Г-Ц-Ц-Т-А-Ц Т 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№4.Участок молекулы ДНК, кодирующий часть полипептида, имеет следующее строение: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</w:t>
      </w:r>
      <w:proofErr w:type="gramStart"/>
      <w:r w:rsidRPr="00CC4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 xml:space="preserve">Участок цепи молекулы ДНК имеет последовательность нуклеотидов: Ц-Т-А-А-Ц-Ц-А-Т-А-Г-Т-Т-Г-А-Г.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</w:t>
      </w:r>
      <w:proofErr w:type="gramStart"/>
      <w:r w:rsidR="004B42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</w:t>
      </w:r>
      <w:proofErr w:type="gramStart"/>
      <w:r w:rsidRPr="007422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lastRenderedPageBreak/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>, который шифруется последовательностями ГУУ, ГУА</w:t>
      </w:r>
      <w:proofErr w:type="gramStart"/>
      <w:r w:rsidRPr="00A9343A">
        <w:rPr>
          <w:rFonts w:ascii="Times New Roman" w:hAnsi="Times New Roman"/>
          <w:sz w:val="28"/>
          <w:szCs w:val="28"/>
        </w:rPr>
        <w:t>,Г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УЦ,ГУГ.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65592980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специалиста по социальной работе</w:t>
      </w:r>
      <w:proofErr w:type="gramStart"/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14:paraId="3441F835" w14:textId="7F12A08E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r w:rsidR="00F47A3F">
        <w:rPr>
          <w:rFonts w:ascii="Times New Roman" w:hAnsi="Times New Roman" w:cs="Times New Roman"/>
          <w:sz w:val="28"/>
          <w:szCs w:val="28"/>
          <w:highlight w:val="cyan"/>
        </w:rPr>
        <w:t>профессиональных</w:t>
      </w:r>
      <w:r w:rsidR="00A41DD5" w:rsidRPr="00F7642A">
        <w:rPr>
          <w:rFonts w:ascii="Times New Roman" w:hAnsi="Times New Roman" w:cs="Times New Roman"/>
          <w:sz w:val="28"/>
          <w:szCs w:val="28"/>
          <w:highlight w:val="cyan"/>
        </w:rPr>
        <w:t xml:space="preserve"> решений</w:t>
      </w:r>
      <w:r w:rsidR="00A41DD5">
        <w:rPr>
          <w:rFonts w:ascii="Times New Roman" w:hAnsi="Times New Roman" w:cs="Times New Roman"/>
          <w:sz w:val="28"/>
          <w:szCs w:val="28"/>
        </w:rPr>
        <w:t>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69D33F90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Отходы в ходе деятельности специалиста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68C1863F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F47A3F" w:rsidRPr="00F47A3F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18CA750E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</w:t>
      </w:r>
      <w:r w:rsidR="00F47A3F">
        <w:rPr>
          <w:rFonts w:ascii="Times New Roman" w:hAnsi="Times New Roman" w:cs="Times New Roman"/>
          <w:sz w:val="28"/>
          <w:szCs w:val="28"/>
          <w:u w:val="single"/>
        </w:rPr>
        <w:t>и работоспособность специалиста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 xml:space="preserve">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условиях конкретной производственной среды, которая при несоблюдении 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61532E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Вывод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сследуемое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25098BBB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9C19A8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величину естественной освещенности по формуле: СК=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Н :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lastRenderedPageBreak/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5F24B272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F47A3F" w:rsidRPr="00F47A3F">
        <w:rPr>
          <w:rFonts w:ascii="Times New Roman" w:hAnsi="Times New Roman" w:cs="Times New Roman"/>
          <w:sz w:val="28"/>
          <w:szCs w:val="28"/>
          <w:u w:val="single"/>
        </w:rPr>
        <w:t>специалиста по социальной работе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1AEBD835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F47A3F" w:rsidRPr="00F47A3F">
        <w:rPr>
          <w:rFonts w:ascii="Times New Roman" w:hAnsi="Times New Roman" w:cs="Times New Roman"/>
          <w:sz w:val="28"/>
          <w:szCs w:val="28"/>
        </w:rPr>
        <w:t>специалиста по социальной работе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1532E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B07B1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A8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47A3F"/>
    <w:rsid w:val="00F54F5A"/>
    <w:rsid w:val="00F62BE4"/>
    <w:rsid w:val="00F656C5"/>
    <w:rsid w:val="00F7254D"/>
    <w:rsid w:val="00F7642A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31</Pages>
  <Words>7340</Words>
  <Characters>41843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23</cp:revision>
  <cp:lastPrinted>2022-09-26T11:24:00Z</cp:lastPrinted>
  <dcterms:created xsi:type="dcterms:W3CDTF">2022-04-28T19:00:00Z</dcterms:created>
  <dcterms:modified xsi:type="dcterms:W3CDTF">2024-06-06T08:09:00Z</dcterms:modified>
</cp:coreProperties>
</file>